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0D5" w:rsidRDefault="00DB314F">
      <w:pPr>
        <w:widowControl/>
        <w:spacing w:line="400" w:lineRule="exact"/>
        <w:jc w:val="left"/>
        <w:rPr>
          <w:rFonts w:ascii="黑体" w:eastAsia="黑体" w:hAnsi="黑体" w:cs="黑体"/>
          <w:sz w:val="32"/>
          <w:szCs w:val="32"/>
        </w:rPr>
      </w:pPr>
      <w:r>
        <w:rPr>
          <w:rFonts w:ascii="黑体" w:eastAsia="黑体" w:hAnsi="黑体" w:cs="黑体" w:hint="eastAsia"/>
          <w:sz w:val="32"/>
          <w:szCs w:val="32"/>
        </w:rPr>
        <w:t>附件2</w:t>
      </w:r>
    </w:p>
    <w:p w:rsidR="00AC30D5" w:rsidRDefault="00DB314F" w:rsidP="00DF5B5C">
      <w:pPr>
        <w:widowControl/>
        <w:spacing w:afterLines="50"/>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2022年度部门整体支出绩效自评表</w:t>
      </w:r>
    </w:p>
    <w:tbl>
      <w:tblPr>
        <w:tblW w:w="10079" w:type="dxa"/>
        <w:jc w:val="center"/>
        <w:tblLook w:val="04A0"/>
      </w:tblPr>
      <w:tblGrid>
        <w:gridCol w:w="1080"/>
        <w:gridCol w:w="1080"/>
        <w:gridCol w:w="1034"/>
        <w:gridCol w:w="1270"/>
        <w:gridCol w:w="1311"/>
        <w:gridCol w:w="1269"/>
        <w:gridCol w:w="716"/>
        <w:gridCol w:w="873"/>
        <w:gridCol w:w="1446"/>
      </w:tblGrid>
      <w:tr w:rsidR="00AC30D5">
        <w:trPr>
          <w:jc w:val="center"/>
        </w:trPr>
        <w:tc>
          <w:tcPr>
            <w:tcW w:w="1080" w:type="dxa"/>
            <w:tcBorders>
              <w:top w:val="single" w:sz="4" w:space="0" w:color="auto"/>
              <w:left w:val="single" w:sz="4" w:space="0" w:color="auto"/>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市级预算部门名称</w:t>
            </w:r>
          </w:p>
        </w:tc>
        <w:tc>
          <w:tcPr>
            <w:tcW w:w="8999" w:type="dxa"/>
            <w:gridSpan w:val="8"/>
            <w:tcBorders>
              <w:top w:val="single" w:sz="4" w:space="0" w:color="auto"/>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eastAsia="仿宋_GB2312" w:hint="eastAsia"/>
                <w:sz w:val="24"/>
              </w:rPr>
              <w:t>岳阳市农业综合行政执法支队</w:t>
            </w: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val="restart"/>
            <w:tcBorders>
              <w:top w:val="nil"/>
              <w:left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年度预</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算申请</w:t>
            </w:r>
            <w:r>
              <w:rPr>
                <w:rFonts w:ascii="仿宋_GB2312" w:eastAsia="仿宋_GB2312" w:hAnsi="仿宋_GB2312" w:cs="仿宋_GB2312" w:hint="eastAsia"/>
                <w:color w:val="000000"/>
                <w:sz w:val="20"/>
                <w:szCs w:val="20"/>
              </w:rPr>
              <w:br/>
              <w:t>（万元）</w:t>
            </w:r>
          </w:p>
        </w:tc>
        <w:tc>
          <w:tcPr>
            <w:tcW w:w="2114" w:type="dxa"/>
            <w:gridSpan w:val="2"/>
            <w:tcBorders>
              <w:top w:val="nil"/>
              <w:left w:val="nil"/>
              <w:bottom w:val="single" w:sz="4" w:space="0" w:color="auto"/>
              <w:right w:val="single" w:sz="4" w:space="0" w:color="auto"/>
            </w:tcBorders>
            <w:vAlign w:val="center"/>
          </w:tcPr>
          <w:p w:rsidR="00AC30D5" w:rsidRDefault="00AC30D5">
            <w:pPr>
              <w:spacing w:line="240" w:lineRule="exact"/>
              <w:jc w:val="center"/>
              <w:rPr>
                <w:rFonts w:ascii="仿宋_GB2312" w:eastAsia="仿宋_GB2312" w:hAnsi="仿宋_GB2312" w:cs="仿宋_GB2312"/>
                <w:sz w:val="20"/>
                <w:szCs w:val="20"/>
              </w:rPr>
            </w:pPr>
          </w:p>
        </w:tc>
        <w:tc>
          <w:tcPr>
            <w:tcW w:w="1270"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年初预算数</w:t>
            </w:r>
          </w:p>
        </w:tc>
        <w:tc>
          <w:tcPr>
            <w:tcW w:w="1311"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全年预算数</w:t>
            </w:r>
          </w:p>
        </w:tc>
        <w:tc>
          <w:tcPr>
            <w:tcW w:w="1269"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全年执行数</w:t>
            </w:r>
          </w:p>
        </w:tc>
        <w:tc>
          <w:tcPr>
            <w:tcW w:w="716"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分值</w:t>
            </w:r>
          </w:p>
        </w:tc>
        <w:tc>
          <w:tcPr>
            <w:tcW w:w="873"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执行率</w:t>
            </w:r>
          </w:p>
        </w:tc>
        <w:tc>
          <w:tcPr>
            <w:tcW w:w="1446"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得分</w:t>
            </w:r>
          </w:p>
        </w:tc>
      </w:tr>
      <w:tr w:rsidR="00AC30D5">
        <w:trPr>
          <w:jc w:val="center"/>
        </w:trPr>
        <w:tc>
          <w:tcPr>
            <w:tcW w:w="1080" w:type="dxa"/>
            <w:vMerge/>
            <w:tcBorders>
              <w:top w:val="nil"/>
              <w:left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2114" w:type="dxa"/>
            <w:gridSpan w:val="2"/>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color w:val="000000"/>
                <w:sz w:val="20"/>
                <w:szCs w:val="20"/>
              </w:rPr>
              <w:t>年度资金总额</w:t>
            </w:r>
          </w:p>
        </w:tc>
        <w:tc>
          <w:tcPr>
            <w:tcW w:w="1270"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799.21</w:t>
            </w:r>
          </w:p>
        </w:tc>
        <w:tc>
          <w:tcPr>
            <w:tcW w:w="1311"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1852.77</w:t>
            </w:r>
          </w:p>
        </w:tc>
        <w:tc>
          <w:tcPr>
            <w:tcW w:w="1269"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2044.92</w:t>
            </w:r>
          </w:p>
        </w:tc>
        <w:tc>
          <w:tcPr>
            <w:tcW w:w="716" w:type="dxa"/>
            <w:tcBorders>
              <w:top w:val="nil"/>
              <w:left w:val="nil"/>
              <w:bottom w:val="single" w:sz="4" w:space="0" w:color="auto"/>
              <w:right w:val="single" w:sz="4" w:space="0" w:color="auto"/>
            </w:tcBorders>
            <w:vAlign w:val="center"/>
          </w:tcPr>
          <w:p w:rsidR="00AC30D5" w:rsidRDefault="00DB314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10</w:t>
            </w:r>
          </w:p>
        </w:tc>
        <w:tc>
          <w:tcPr>
            <w:tcW w:w="873" w:type="dxa"/>
            <w:tcBorders>
              <w:top w:val="nil"/>
              <w:left w:val="nil"/>
              <w:bottom w:val="single" w:sz="4" w:space="0" w:color="auto"/>
              <w:right w:val="single" w:sz="4" w:space="0" w:color="auto"/>
            </w:tcBorders>
            <w:vAlign w:val="center"/>
          </w:tcPr>
          <w:p w:rsidR="00AC30D5" w:rsidRDefault="005C7096">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110.37</w:t>
            </w:r>
          </w:p>
        </w:tc>
        <w:tc>
          <w:tcPr>
            <w:tcW w:w="1446" w:type="dxa"/>
            <w:tcBorders>
              <w:top w:val="nil"/>
              <w:left w:val="nil"/>
              <w:bottom w:val="single" w:sz="4" w:space="0" w:color="auto"/>
              <w:right w:val="single" w:sz="4" w:space="0" w:color="auto"/>
            </w:tcBorders>
            <w:vAlign w:val="center"/>
          </w:tcPr>
          <w:p w:rsidR="00AC30D5" w:rsidRDefault="005C7096" w:rsidP="00B5635F">
            <w:pPr>
              <w:spacing w:line="240" w:lineRule="exact"/>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9.</w:t>
            </w:r>
            <w:r w:rsidR="00B5635F">
              <w:rPr>
                <w:rFonts w:ascii="仿宋_GB2312" w:eastAsia="仿宋_GB2312" w:hAnsi="仿宋_GB2312" w:cs="仿宋_GB2312" w:hint="eastAsia"/>
                <w:sz w:val="20"/>
                <w:szCs w:val="20"/>
              </w:rPr>
              <w:t>8</w:t>
            </w:r>
          </w:p>
        </w:tc>
      </w:tr>
      <w:tr w:rsidR="00AC30D5">
        <w:trPr>
          <w:jc w:val="center"/>
        </w:trPr>
        <w:tc>
          <w:tcPr>
            <w:tcW w:w="1080" w:type="dxa"/>
            <w:vMerge/>
            <w:tcBorders>
              <w:left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按收入性质分：</w:t>
            </w:r>
          </w:p>
        </w:tc>
        <w:tc>
          <w:tcPr>
            <w:tcW w:w="4304" w:type="dxa"/>
            <w:gridSpan w:val="4"/>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按支出性质分：</w:t>
            </w:r>
          </w:p>
        </w:tc>
      </w:tr>
      <w:tr w:rsidR="00AC30D5">
        <w:trPr>
          <w:jc w:val="center"/>
        </w:trPr>
        <w:tc>
          <w:tcPr>
            <w:tcW w:w="1080" w:type="dxa"/>
            <w:vMerge/>
            <w:tcBorders>
              <w:left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其中：  一般公共预算：1852.77</w:t>
            </w:r>
          </w:p>
        </w:tc>
        <w:tc>
          <w:tcPr>
            <w:tcW w:w="4304" w:type="dxa"/>
            <w:gridSpan w:val="4"/>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其中：基本支出：901.1</w:t>
            </w:r>
          </w:p>
        </w:tc>
      </w:tr>
      <w:tr w:rsidR="00AC30D5">
        <w:trPr>
          <w:jc w:val="center"/>
        </w:trPr>
        <w:tc>
          <w:tcPr>
            <w:tcW w:w="1080" w:type="dxa"/>
            <w:vMerge/>
            <w:tcBorders>
              <w:left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AC30D5" w:rsidRDefault="00DB314F">
            <w:pPr>
              <w:widowControl/>
              <w:spacing w:line="240" w:lineRule="exact"/>
              <w:ind w:firstLineChars="400" w:firstLine="8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政府性基金拨款：0</w:t>
            </w:r>
          </w:p>
        </w:tc>
        <w:tc>
          <w:tcPr>
            <w:tcW w:w="4304" w:type="dxa"/>
            <w:gridSpan w:val="4"/>
            <w:tcBorders>
              <w:top w:val="nil"/>
              <w:left w:val="nil"/>
              <w:bottom w:val="single" w:sz="4" w:space="0" w:color="auto"/>
              <w:right w:val="single" w:sz="4" w:space="0" w:color="auto"/>
            </w:tcBorders>
            <w:vAlign w:val="center"/>
          </w:tcPr>
          <w:p w:rsidR="00AC30D5" w:rsidRDefault="00DB314F">
            <w:pPr>
              <w:widowControl/>
              <w:spacing w:line="240" w:lineRule="exact"/>
              <w:ind w:firstLineChars="300" w:firstLine="6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项目支出：1143.82</w:t>
            </w:r>
          </w:p>
        </w:tc>
      </w:tr>
      <w:tr w:rsidR="00AC30D5">
        <w:trPr>
          <w:jc w:val="center"/>
        </w:trPr>
        <w:tc>
          <w:tcPr>
            <w:tcW w:w="1080" w:type="dxa"/>
            <w:vMerge/>
            <w:tcBorders>
              <w:left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纳入专户管理的非税收入拨款：0</w:t>
            </w:r>
          </w:p>
        </w:tc>
        <w:tc>
          <w:tcPr>
            <w:tcW w:w="4304" w:type="dxa"/>
            <w:gridSpan w:val="4"/>
            <w:tcBorders>
              <w:top w:val="nil"/>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r>
      <w:tr w:rsidR="00AC30D5">
        <w:trPr>
          <w:jc w:val="center"/>
        </w:trPr>
        <w:tc>
          <w:tcPr>
            <w:tcW w:w="1080" w:type="dxa"/>
            <w:vMerge/>
            <w:tcBorders>
              <w:left w:val="single" w:sz="4" w:space="0" w:color="auto"/>
              <w:bottom w:val="single" w:sz="4" w:space="0" w:color="000000"/>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nil"/>
              <w:left w:val="nil"/>
              <w:bottom w:val="single" w:sz="4" w:space="0" w:color="auto"/>
              <w:right w:val="single" w:sz="4" w:space="0" w:color="auto"/>
            </w:tcBorders>
            <w:vAlign w:val="center"/>
          </w:tcPr>
          <w:p w:rsidR="00AC30D5" w:rsidRDefault="00DB314F">
            <w:pPr>
              <w:widowControl/>
              <w:spacing w:line="240" w:lineRule="exact"/>
              <w:ind w:firstLineChars="700" w:firstLine="1400"/>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其他资金：192.15</w:t>
            </w:r>
          </w:p>
        </w:tc>
        <w:tc>
          <w:tcPr>
            <w:tcW w:w="4304" w:type="dxa"/>
            <w:gridSpan w:val="4"/>
            <w:tcBorders>
              <w:top w:val="nil"/>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r>
      <w:tr w:rsidR="00AC30D5">
        <w:trPr>
          <w:jc w:val="center"/>
        </w:trPr>
        <w:tc>
          <w:tcPr>
            <w:tcW w:w="1080" w:type="dxa"/>
            <w:vMerge w:val="restart"/>
            <w:tcBorders>
              <w:top w:val="nil"/>
              <w:left w:val="single" w:sz="4" w:space="0" w:color="auto"/>
              <w:bottom w:val="single" w:sz="4" w:space="0" w:color="000000"/>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年度总体目标</w:t>
            </w:r>
          </w:p>
        </w:tc>
        <w:tc>
          <w:tcPr>
            <w:tcW w:w="4695" w:type="dxa"/>
            <w:gridSpan w:val="4"/>
            <w:tcBorders>
              <w:top w:val="single" w:sz="4" w:space="0" w:color="auto"/>
              <w:left w:val="nil"/>
              <w:bottom w:val="single" w:sz="4" w:space="0" w:color="auto"/>
              <w:right w:val="single" w:sz="4" w:space="0" w:color="000000"/>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预期目标</w:t>
            </w:r>
          </w:p>
        </w:tc>
        <w:tc>
          <w:tcPr>
            <w:tcW w:w="4304" w:type="dxa"/>
            <w:gridSpan w:val="4"/>
            <w:tcBorders>
              <w:top w:val="single" w:sz="4" w:space="0" w:color="auto"/>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实际完成情况　</w:t>
            </w:r>
          </w:p>
        </w:tc>
      </w:tr>
      <w:tr w:rsidR="00AC30D5">
        <w:trPr>
          <w:jc w:val="center"/>
        </w:trPr>
        <w:tc>
          <w:tcPr>
            <w:tcW w:w="1080" w:type="dxa"/>
            <w:vMerge/>
            <w:tcBorders>
              <w:top w:val="nil"/>
              <w:left w:val="single" w:sz="4" w:space="0" w:color="auto"/>
              <w:bottom w:val="single" w:sz="4" w:space="0" w:color="000000"/>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4695" w:type="dxa"/>
            <w:gridSpan w:val="4"/>
            <w:tcBorders>
              <w:top w:val="single" w:sz="4" w:space="0" w:color="auto"/>
              <w:left w:val="nil"/>
              <w:bottom w:val="single" w:sz="4" w:space="0" w:color="auto"/>
              <w:right w:val="single" w:sz="4" w:space="0" w:color="000000"/>
            </w:tcBorders>
            <w:vAlign w:val="center"/>
          </w:tcPr>
          <w:p w:rsidR="00AC30D5" w:rsidRDefault="00DB314F">
            <w:pPr>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1、开展“湘剑”护农农资打假行动，查处和打击生产、经营假冒伪劣农资违法行为，保护农民合法权益；</w:t>
            </w:r>
          </w:p>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2、严格农产品质量安全执法监管，定期开展农产品质量安全监督抽检工作，依法查处和打击农产品生产领域质量安全违法行为及中心城区生猪私屠滥宰等行为；</w:t>
            </w:r>
          </w:p>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3、全面贯彻落实长江洞庭湖十年禁捕政策，严厉查处违禁捕捞行为；</w:t>
            </w:r>
          </w:p>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4、例行检查发现违法线索立案率达到100%，投诉举报案例查处率100%，上级交办、其他部门移交案件查处率100%。</w:t>
            </w:r>
          </w:p>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5、开展交通顽瘴痼疾农机安全系列整治行动，确保农机使用安全　</w:t>
            </w:r>
          </w:p>
        </w:tc>
        <w:tc>
          <w:tcPr>
            <w:tcW w:w="4304" w:type="dxa"/>
            <w:gridSpan w:val="4"/>
            <w:tcBorders>
              <w:top w:val="single" w:sz="4" w:space="0" w:color="auto"/>
              <w:left w:val="nil"/>
              <w:bottom w:val="single" w:sz="4" w:space="0" w:color="auto"/>
              <w:right w:val="single" w:sz="4" w:space="0" w:color="auto"/>
            </w:tcBorders>
            <w:vAlign w:val="center"/>
          </w:tcPr>
          <w:p w:rsidR="00AC30D5" w:rsidRDefault="00DB314F" w:rsidP="005C7096">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市支队全年共行政立案96起，办结行政处罚92起，较2021年办案数量和质量得到明显提升。移交公安机关4起，接收移送案件2起，向县市区大队移交问题线索300余条。市重点水域禁捕秩序管控到位，中心城区生猪定点屠宰秩序良好</w:t>
            </w:r>
            <w:r w:rsidR="005C7096">
              <w:rPr>
                <w:rFonts w:ascii="仿宋_GB2312" w:eastAsia="仿宋_GB2312" w:hAnsi="仿宋_GB2312" w:cs="仿宋_GB2312" w:hint="eastAsia"/>
                <w:color w:val="000000"/>
                <w:sz w:val="20"/>
                <w:szCs w:val="20"/>
              </w:rPr>
              <w:t>，同时圆满完成市政府和局党组交办的岳阳市洞庭湖水上联合执法基地指挥中心项目建设任务。</w:t>
            </w:r>
          </w:p>
        </w:tc>
      </w:tr>
      <w:tr w:rsidR="00AC30D5">
        <w:trPr>
          <w:jc w:val="center"/>
        </w:trPr>
        <w:tc>
          <w:tcPr>
            <w:tcW w:w="1080" w:type="dxa"/>
            <w:vMerge w:val="restart"/>
            <w:tcBorders>
              <w:top w:val="nil"/>
              <w:left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绩</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标</w:t>
            </w:r>
          </w:p>
          <w:p w:rsidR="00AC30D5" w:rsidRDefault="00AC30D5">
            <w:pPr>
              <w:widowControl/>
              <w:spacing w:line="240" w:lineRule="exact"/>
              <w:jc w:val="center"/>
              <w:rPr>
                <w:rFonts w:ascii="仿宋_GB2312" w:eastAsia="仿宋_GB2312" w:hAnsi="仿宋_GB2312" w:cs="仿宋_GB2312"/>
                <w:color w:val="000000"/>
                <w:sz w:val="20"/>
                <w:szCs w:val="20"/>
              </w:rPr>
            </w:pPr>
          </w:p>
        </w:tc>
        <w:tc>
          <w:tcPr>
            <w:tcW w:w="108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一级指标</w:t>
            </w:r>
          </w:p>
        </w:tc>
        <w:tc>
          <w:tcPr>
            <w:tcW w:w="1034"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二级指标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三级指标</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年度指标值</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实际完成值</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分值</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得分</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偏差原因分析及改进措施</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产出指标</w:t>
            </w:r>
          </w:p>
          <w:p w:rsidR="00AC30D5" w:rsidRDefault="00AC30D5">
            <w:pPr>
              <w:widowControl/>
              <w:spacing w:line="240" w:lineRule="exact"/>
              <w:jc w:val="center"/>
              <w:rPr>
                <w:rFonts w:ascii="仿宋_GB2312" w:eastAsia="仿宋_GB2312" w:hAnsi="仿宋_GB2312" w:cs="仿宋_GB2312"/>
                <w:color w:val="000000"/>
                <w:sz w:val="20"/>
                <w:szCs w:val="20"/>
              </w:rPr>
            </w:pP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(50分)</w:t>
            </w: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数量指标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color w:val="000000"/>
                <w:sz w:val="20"/>
                <w:szCs w:val="20"/>
              </w:rPr>
              <w:t>1.</w:t>
            </w:r>
            <w:r>
              <w:rPr>
                <w:rFonts w:ascii="仿宋_GB2312" w:eastAsia="仿宋_GB2312" w:hAnsi="仿宋_GB2312" w:cs="仿宋_GB2312" w:hint="eastAsia"/>
                <w:color w:val="000000"/>
                <w:sz w:val="20"/>
                <w:szCs w:val="20"/>
              </w:rPr>
              <w:t>开展案卷评查</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1次</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1次</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color w:val="000000"/>
                <w:sz w:val="20"/>
                <w:szCs w:val="20"/>
              </w:rPr>
              <w:t>2.</w:t>
            </w:r>
            <w:r>
              <w:rPr>
                <w:rFonts w:ascii="仿宋_GB2312" w:eastAsia="仿宋_GB2312" w:hAnsi="仿宋_GB2312" w:cs="仿宋_GB2312" w:hint="eastAsia"/>
                <w:color w:val="000000"/>
                <w:sz w:val="20"/>
                <w:szCs w:val="20"/>
              </w:rPr>
              <w:t>举办全市执法骨干培训班</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2期</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2期</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873"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质量指标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1.检查发现违法线索立案查处</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r>
              <w:rPr>
                <w:rFonts w:eastAsia="仿宋_GB2312"/>
                <w:sz w:val="24"/>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r>
              <w:rPr>
                <w:rFonts w:eastAsia="仿宋_GB2312"/>
                <w:sz w:val="24"/>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2.投诉举报线索处置率</w:t>
            </w:r>
          </w:p>
        </w:tc>
        <w:tc>
          <w:tcPr>
            <w:tcW w:w="1311" w:type="dxa"/>
            <w:tcBorders>
              <w:top w:val="nil"/>
              <w:left w:val="nil"/>
              <w:bottom w:val="single" w:sz="4" w:space="0" w:color="auto"/>
              <w:right w:val="single" w:sz="4" w:space="0" w:color="auto"/>
            </w:tcBorders>
          </w:tcPr>
          <w:p w:rsidR="00AC30D5" w:rsidRDefault="00DB314F">
            <w:pP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1269" w:type="dxa"/>
            <w:tcBorders>
              <w:top w:val="nil"/>
              <w:left w:val="nil"/>
              <w:bottom w:val="single" w:sz="4" w:space="0" w:color="auto"/>
              <w:right w:val="single" w:sz="4" w:space="0" w:color="auto"/>
            </w:tcBorders>
          </w:tcPr>
          <w:p w:rsidR="00AC30D5" w:rsidRDefault="00DB314F">
            <w:pP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3.上级交办、相关部门移交案件查处</w:t>
            </w:r>
          </w:p>
        </w:tc>
        <w:tc>
          <w:tcPr>
            <w:tcW w:w="1311" w:type="dxa"/>
            <w:tcBorders>
              <w:top w:val="nil"/>
              <w:left w:val="nil"/>
              <w:bottom w:val="single" w:sz="4" w:space="0" w:color="auto"/>
              <w:right w:val="single" w:sz="4" w:space="0" w:color="auto"/>
            </w:tcBorders>
          </w:tcPr>
          <w:p w:rsidR="00AC30D5" w:rsidRDefault="00DB314F">
            <w:pP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1269" w:type="dxa"/>
            <w:tcBorders>
              <w:top w:val="nil"/>
              <w:left w:val="nil"/>
              <w:bottom w:val="single" w:sz="4" w:space="0" w:color="auto"/>
              <w:right w:val="single" w:sz="4" w:space="0" w:color="auto"/>
            </w:tcBorders>
          </w:tcPr>
          <w:p w:rsidR="00AC30D5" w:rsidRDefault="00DB314F">
            <w:pP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color w:val="000000"/>
                <w:sz w:val="20"/>
                <w:szCs w:val="20"/>
              </w:rPr>
              <w:t>4</w:t>
            </w:r>
            <w:r>
              <w:rPr>
                <w:rFonts w:ascii="仿宋_GB2312" w:eastAsia="仿宋_GB2312" w:hAnsi="仿宋_GB2312" w:cs="仿宋_GB2312" w:hint="eastAsia"/>
                <w:color w:val="000000"/>
                <w:sz w:val="20"/>
                <w:szCs w:val="20"/>
              </w:rPr>
              <w:t>.立案结案率100%，不发生行政诉讼败诉案件</w:t>
            </w:r>
          </w:p>
          <w:p w:rsidR="00AC30D5" w:rsidRDefault="00AC30D5">
            <w:pPr>
              <w:widowControl/>
              <w:spacing w:line="240" w:lineRule="exact"/>
              <w:jc w:val="center"/>
              <w:rPr>
                <w:rFonts w:ascii="仿宋_GB2312" w:eastAsia="仿宋_GB2312" w:hAnsi="仿宋_GB2312" w:cs="仿宋_GB2312"/>
                <w:color w:val="000000"/>
                <w:sz w:val="20"/>
                <w:szCs w:val="20"/>
              </w:rPr>
            </w:pPr>
          </w:p>
        </w:tc>
        <w:tc>
          <w:tcPr>
            <w:tcW w:w="1311" w:type="dxa"/>
            <w:tcBorders>
              <w:top w:val="nil"/>
              <w:left w:val="nil"/>
              <w:bottom w:val="single" w:sz="4" w:space="0" w:color="auto"/>
              <w:right w:val="single" w:sz="4" w:space="0" w:color="auto"/>
            </w:tcBorders>
          </w:tcPr>
          <w:p w:rsidR="00AC30D5" w:rsidRDefault="00DB314F">
            <w:pP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1269" w:type="dxa"/>
            <w:tcBorders>
              <w:top w:val="nil"/>
              <w:left w:val="nil"/>
              <w:bottom w:val="single" w:sz="4" w:space="0" w:color="auto"/>
              <w:right w:val="single" w:sz="4" w:space="0" w:color="auto"/>
            </w:tcBorders>
          </w:tcPr>
          <w:p w:rsidR="00AC30D5" w:rsidRDefault="00DB314F">
            <w:pP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时效指标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年内立案、结案完成数</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r>
              <w:rPr>
                <w:rFonts w:eastAsia="仿宋_GB2312" w:hint="eastAsia"/>
                <w:sz w:val="24"/>
              </w:rPr>
              <w:t>100%</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873"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873"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成本指标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非税收入执收成本</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2.5万元</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2.5万元</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873"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873"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val="restart"/>
            <w:tcBorders>
              <w:top w:val="nil"/>
              <w:left w:val="nil"/>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效益指标</w:t>
            </w:r>
          </w:p>
          <w:p w:rsidR="00AC30D5" w:rsidRDefault="00AC30D5">
            <w:pPr>
              <w:widowControl/>
              <w:spacing w:line="240" w:lineRule="exact"/>
              <w:jc w:val="left"/>
              <w:rPr>
                <w:rFonts w:ascii="仿宋_GB2312" w:eastAsia="仿宋_GB2312" w:hAnsi="仿宋_GB2312" w:cs="仿宋_GB2312"/>
                <w:color w:val="000000"/>
                <w:sz w:val="20"/>
                <w:szCs w:val="20"/>
              </w:rPr>
            </w:pPr>
          </w:p>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（30分）</w:t>
            </w:r>
          </w:p>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经济效</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协助挽回农民损失</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60万元</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70万元</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社会效</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保护长江洞庭湖水生生物资源及江豚等珍稀野生动物</w:t>
            </w:r>
            <w:r>
              <w:rPr>
                <w:rFonts w:ascii="仿宋_GB2312" w:eastAsia="仿宋_GB2312" w:hAnsi="仿宋_GB2312" w:cs="仿宋_GB2312"/>
                <w:color w:val="000000"/>
                <w:sz w:val="20"/>
                <w:szCs w:val="20"/>
              </w:rPr>
              <w:br/>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江豚种群数量增长2%</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江豚种群数量稳定增长</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确保农产品质量安全</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农产品合格率98%以上</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抽检农产品合格率98%以上</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生态效</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益指标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洞庭湖水生态环境得到修复</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重点水域水生生物资源总量提高4%</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重点水域水生生物资源总量稳步提高</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10</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10</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jc w:val="center"/>
        </w:trPr>
        <w:tc>
          <w:tcPr>
            <w:tcW w:w="1080" w:type="dxa"/>
            <w:vMerge/>
            <w:tcBorders>
              <w:left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trHeight w:val="290"/>
          <w:jc w:val="center"/>
        </w:trPr>
        <w:tc>
          <w:tcPr>
            <w:tcW w:w="1080" w:type="dxa"/>
            <w:vMerge/>
            <w:tcBorders>
              <w:left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034" w:type="dxa"/>
            <w:vMerge w:val="restart"/>
            <w:tcBorders>
              <w:top w:val="single" w:sz="4" w:space="0" w:color="auto"/>
              <w:left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可持续影响指标</w:t>
            </w:r>
          </w:p>
        </w:tc>
        <w:tc>
          <w:tcPr>
            <w:tcW w:w="1270" w:type="dxa"/>
            <w:tcBorders>
              <w:top w:val="single" w:sz="4" w:space="0" w:color="auto"/>
              <w:left w:val="single" w:sz="4" w:space="0" w:color="auto"/>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增强人民群众对水生生物保护的关注度、参与度</w:t>
            </w:r>
          </w:p>
        </w:tc>
        <w:tc>
          <w:tcPr>
            <w:tcW w:w="1311" w:type="dxa"/>
            <w:tcBorders>
              <w:top w:val="single" w:sz="4" w:space="0" w:color="auto"/>
              <w:left w:val="single" w:sz="4" w:space="0" w:color="auto"/>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水生生物保护公众关注度、参与度提升2%</w:t>
            </w:r>
          </w:p>
        </w:tc>
        <w:tc>
          <w:tcPr>
            <w:tcW w:w="1269" w:type="dxa"/>
            <w:tcBorders>
              <w:top w:val="single" w:sz="4" w:space="0" w:color="auto"/>
              <w:left w:val="single" w:sz="4" w:space="0" w:color="auto"/>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水生生物保护公众关注度、参与度提升3%</w:t>
            </w:r>
          </w:p>
        </w:tc>
        <w:tc>
          <w:tcPr>
            <w:tcW w:w="716" w:type="dxa"/>
            <w:tcBorders>
              <w:top w:val="single" w:sz="4" w:space="0" w:color="auto"/>
              <w:left w:val="single" w:sz="4" w:space="0" w:color="auto"/>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873" w:type="dxa"/>
            <w:tcBorders>
              <w:top w:val="single" w:sz="4" w:space="0" w:color="auto"/>
              <w:left w:val="single" w:sz="4" w:space="0" w:color="auto"/>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1446" w:type="dxa"/>
            <w:tcBorders>
              <w:top w:val="single" w:sz="4" w:space="0" w:color="auto"/>
              <w:left w:val="single" w:sz="4" w:space="0" w:color="auto"/>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trHeight w:val="270"/>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270" w:type="dxa"/>
            <w:tcBorders>
              <w:top w:val="single" w:sz="4" w:space="0" w:color="auto"/>
              <w:left w:val="nil"/>
              <w:bottom w:val="single" w:sz="4" w:space="0" w:color="auto"/>
              <w:right w:val="single" w:sz="4" w:space="0" w:color="auto"/>
            </w:tcBorders>
            <w:vAlign w:val="center"/>
          </w:tcPr>
          <w:p w:rsidR="00AC30D5" w:rsidRDefault="00AC30D5">
            <w:pPr>
              <w:widowControl/>
              <w:spacing w:line="240" w:lineRule="exact"/>
              <w:jc w:val="center"/>
              <w:rPr>
                <w:rFonts w:ascii="仿宋_GB2312" w:eastAsia="仿宋_GB2312" w:hAnsi="仿宋_GB2312" w:cs="仿宋_GB2312"/>
                <w:color w:val="000000"/>
                <w:sz w:val="20"/>
                <w:szCs w:val="20"/>
              </w:rPr>
            </w:pPr>
          </w:p>
        </w:tc>
        <w:tc>
          <w:tcPr>
            <w:tcW w:w="1311" w:type="dxa"/>
            <w:tcBorders>
              <w:top w:val="single" w:sz="4" w:space="0" w:color="auto"/>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single" w:sz="4" w:space="0" w:color="auto"/>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single" w:sz="4" w:space="0" w:color="auto"/>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single" w:sz="4" w:space="0" w:color="auto"/>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single" w:sz="4" w:space="0" w:color="auto"/>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trHeight w:val="270"/>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034" w:type="dxa"/>
            <w:vMerge/>
            <w:tcBorders>
              <w:left w:val="single" w:sz="4" w:space="0" w:color="auto"/>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trHeight w:val="330"/>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满意度</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指标</w:t>
            </w:r>
          </w:p>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（10分）</w:t>
            </w:r>
          </w:p>
        </w:tc>
        <w:tc>
          <w:tcPr>
            <w:tcW w:w="1034" w:type="dxa"/>
            <w:vMerge w:val="restart"/>
            <w:tcBorders>
              <w:top w:val="nil"/>
              <w:left w:val="nil"/>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服务对象满意度指标</w:t>
            </w: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人民群众满意度</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100%</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98%</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4</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禁钓政策部分钓友不理解造成人民群众满意度未达预期，今后加大宣传力度</w:t>
            </w:r>
          </w:p>
        </w:tc>
      </w:tr>
      <w:tr w:rsidR="00AC30D5">
        <w:trPr>
          <w:trHeight w:val="270"/>
          <w:jc w:val="center"/>
        </w:trPr>
        <w:tc>
          <w:tcPr>
            <w:tcW w:w="1080" w:type="dxa"/>
            <w:vMerge/>
            <w:tcBorders>
              <w:left w:val="single" w:sz="4" w:space="0" w:color="auto"/>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80"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034" w:type="dxa"/>
            <w:vMerge/>
            <w:tcBorders>
              <w:left w:val="nil"/>
              <w:right w:val="single" w:sz="4" w:space="0" w:color="auto"/>
            </w:tcBorders>
            <w:vAlign w:val="center"/>
          </w:tcPr>
          <w:p w:rsidR="00AC30D5" w:rsidRDefault="00AC30D5">
            <w:pPr>
              <w:spacing w:line="240" w:lineRule="exact"/>
              <w:jc w:val="left"/>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生产经营人员满意度</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100%</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5</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trHeight w:val="270"/>
          <w:jc w:val="center"/>
        </w:trPr>
        <w:tc>
          <w:tcPr>
            <w:tcW w:w="1080" w:type="dxa"/>
            <w:vMerge/>
            <w:tcBorders>
              <w:left w:val="single" w:sz="4" w:space="0" w:color="auto"/>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080" w:type="dxa"/>
            <w:vMerge/>
            <w:tcBorders>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034" w:type="dxa"/>
            <w:vMerge/>
            <w:tcBorders>
              <w:left w:val="nil"/>
              <w:bottom w:val="single" w:sz="4" w:space="0" w:color="auto"/>
              <w:right w:val="single" w:sz="4" w:space="0" w:color="auto"/>
            </w:tcBorders>
            <w:vAlign w:val="center"/>
          </w:tcPr>
          <w:p w:rsidR="00AC30D5" w:rsidRDefault="00AC30D5">
            <w:pPr>
              <w:widowControl/>
              <w:spacing w:line="240" w:lineRule="exact"/>
              <w:jc w:val="left"/>
              <w:rPr>
                <w:rFonts w:ascii="仿宋_GB2312" w:eastAsia="仿宋_GB2312" w:hAnsi="仿宋_GB2312" w:cs="仿宋_GB2312"/>
                <w:color w:val="000000"/>
                <w:sz w:val="20"/>
                <w:szCs w:val="20"/>
              </w:rPr>
            </w:pPr>
          </w:p>
        </w:tc>
        <w:tc>
          <w:tcPr>
            <w:tcW w:w="1270"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w:t>
            </w:r>
          </w:p>
        </w:tc>
        <w:tc>
          <w:tcPr>
            <w:tcW w:w="1311"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269"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873"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r w:rsidR="00AC30D5">
        <w:trPr>
          <w:trHeight w:val="270"/>
          <w:jc w:val="center"/>
        </w:trPr>
        <w:tc>
          <w:tcPr>
            <w:tcW w:w="7044" w:type="dxa"/>
            <w:gridSpan w:val="6"/>
            <w:tcBorders>
              <w:top w:val="single" w:sz="4" w:space="0" w:color="auto"/>
              <w:left w:val="single" w:sz="4" w:space="0" w:color="auto"/>
              <w:bottom w:val="single" w:sz="4" w:space="0" w:color="auto"/>
              <w:right w:val="single" w:sz="4" w:space="0" w:color="000000"/>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总分</w:t>
            </w:r>
          </w:p>
        </w:tc>
        <w:tc>
          <w:tcPr>
            <w:tcW w:w="716" w:type="dxa"/>
            <w:tcBorders>
              <w:top w:val="nil"/>
              <w:left w:val="nil"/>
              <w:bottom w:val="single" w:sz="4" w:space="0" w:color="auto"/>
              <w:right w:val="single" w:sz="4" w:space="0" w:color="auto"/>
            </w:tcBorders>
            <w:vAlign w:val="center"/>
          </w:tcPr>
          <w:p w:rsidR="00AC30D5" w:rsidRDefault="00DB314F">
            <w:pPr>
              <w:widowControl/>
              <w:spacing w:line="240" w:lineRule="exact"/>
              <w:jc w:val="center"/>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100</w:t>
            </w:r>
          </w:p>
        </w:tc>
        <w:tc>
          <w:tcPr>
            <w:tcW w:w="873" w:type="dxa"/>
            <w:tcBorders>
              <w:top w:val="nil"/>
              <w:left w:val="nil"/>
              <w:bottom w:val="single" w:sz="4" w:space="0" w:color="auto"/>
              <w:right w:val="single" w:sz="4" w:space="0" w:color="auto"/>
            </w:tcBorders>
            <w:vAlign w:val="center"/>
          </w:tcPr>
          <w:p w:rsidR="00AC30D5" w:rsidRDefault="00DB314F" w:rsidP="00B5635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9</w:t>
            </w:r>
            <w:r w:rsidR="00B5635F">
              <w:rPr>
                <w:rFonts w:ascii="仿宋_GB2312" w:eastAsia="仿宋_GB2312" w:hAnsi="仿宋_GB2312" w:cs="仿宋_GB2312" w:hint="eastAsia"/>
                <w:color w:val="000000"/>
                <w:sz w:val="20"/>
                <w:szCs w:val="20"/>
              </w:rPr>
              <w:t>8.8</w:t>
            </w:r>
          </w:p>
        </w:tc>
        <w:tc>
          <w:tcPr>
            <w:tcW w:w="1446" w:type="dxa"/>
            <w:tcBorders>
              <w:top w:val="nil"/>
              <w:left w:val="nil"/>
              <w:bottom w:val="single" w:sz="4" w:space="0" w:color="auto"/>
              <w:right w:val="single" w:sz="4" w:space="0" w:color="auto"/>
            </w:tcBorders>
            <w:vAlign w:val="center"/>
          </w:tcPr>
          <w:p w:rsidR="00AC30D5" w:rsidRDefault="00DB314F">
            <w:pPr>
              <w:widowControl/>
              <w:spacing w:line="240" w:lineRule="exact"/>
              <w:jc w:val="left"/>
              <w:rPr>
                <w:rFonts w:ascii="仿宋_GB2312" w:eastAsia="仿宋_GB2312" w:hAnsi="仿宋_GB2312" w:cs="仿宋_GB2312"/>
                <w:color w:val="000000"/>
                <w:sz w:val="20"/>
                <w:szCs w:val="20"/>
              </w:rPr>
            </w:pPr>
            <w:r>
              <w:rPr>
                <w:rFonts w:ascii="仿宋_GB2312" w:eastAsia="仿宋_GB2312" w:hAnsi="仿宋_GB2312" w:cs="仿宋_GB2312" w:hint="eastAsia"/>
                <w:color w:val="000000"/>
                <w:sz w:val="20"/>
                <w:szCs w:val="20"/>
              </w:rPr>
              <w:t xml:space="preserve">　</w:t>
            </w:r>
          </w:p>
        </w:tc>
      </w:tr>
    </w:tbl>
    <w:p w:rsidR="00AC30D5" w:rsidRDefault="00DB314F" w:rsidP="00CE2F78">
      <w:pPr>
        <w:ind w:left="440" w:hangingChars="200" w:hanging="440"/>
      </w:pPr>
      <w:r>
        <w:rPr>
          <w:rFonts w:ascii="Times New Roman" w:eastAsia="仿宋_GB2312" w:hAnsi="Times New Roman"/>
          <w:sz w:val="22"/>
          <w:szCs w:val="22"/>
        </w:rPr>
        <w:t>填表人：</w:t>
      </w:r>
      <w:r w:rsidR="00CE2F78">
        <w:rPr>
          <w:rFonts w:ascii="Times New Roman" w:eastAsia="仿宋_GB2312" w:hAnsi="Times New Roman" w:hint="eastAsia"/>
          <w:sz w:val="22"/>
          <w:szCs w:val="22"/>
        </w:rPr>
        <w:t>汤晓静</w:t>
      </w:r>
      <w:r>
        <w:rPr>
          <w:rFonts w:ascii="Times New Roman" w:eastAsia="仿宋_GB2312" w:hAnsi="Times New Roman"/>
          <w:sz w:val="22"/>
          <w:szCs w:val="22"/>
        </w:rPr>
        <w:t xml:space="preserve"> </w:t>
      </w:r>
      <w:r>
        <w:rPr>
          <w:rFonts w:ascii="Times New Roman" w:eastAsia="仿宋_GB2312" w:hAnsi="Times New Roman"/>
          <w:sz w:val="22"/>
          <w:szCs w:val="22"/>
        </w:rPr>
        <w:t>填报日期：</w:t>
      </w:r>
      <w:r w:rsidR="00CE2F78">
        <w:rPr>
          <w:rFonts w:ascii="Times New Roman" w:eastAsia="仿宋_GB2312" w:hAnsi="Times New Roman" w:hint="eastAsia"/>
          <w:sz w:val="22"/>
          <w:szCs w:val="22"/>
        </w:rPr>
        <w:t>2023.7.13</w:t>
      </w:r>
      <w:r w:rsidR="00CE2F78">
        <w:rPr>
          <w:rFonts w:ascii="Times New Roman" w:eastAsia="仿宋_GB2312" w:hAnsi="Times New Roman"/>
          <w:sz w:val="22"/>
          <w:szCs w:val="22"/>
        </w:rPr>
        <w:t xml:space="preserve"> </w:t>
      </w:r>
      <w:r>
        <w:rPr>
          <w:rFonts w:ascii="Times New Roman" w:eastAsia="仿宋_GB2312" w:hAnsi="Times New Roman"/>
          <w:sz w:val="22"/>
          <w:szCs w:val="22"/>
        </w:rPr>
        <w:t>联系电话：</w:t>
      </w:r>
      <w:r>
        <w:rPr>
          <w:rFonts w:ascii="Times New Roman" w:eastAsia="仿宋_GB2312" w:hAnsi="Times New Roman"/>
          <w:sz w:val="22"/>
          <w:szCs w:val="22"/>
        </w:rPr>
        <w:t xml:space="preserve"> </w:t>
      </w:r>
      <w:r w:rsidR="00CE2F78">
        <w:rPr>
          <w:rFonts w:ascii="Times New Roman" w:eastAsia="仿宋_GB2312" w:hAnsi="Times New Roman" w:hint="eastAsia"/>
          <w:sz w:val="22"/>
          <w:szCs w:val="22"/>
        </w:rPr>
        <w:t>8288018</w:t>
      </w:r>
      <w:r w:rsidR="00CE2F78">
        <w:rPr>
          <w:rFonts w:ascii="Times New Roman" w:eastAsia="仿宋_GB2312" w:hAnsi="Times New Roman"/>
          <w:sz w:val="22"/>
          <w:szCs w:val="22"/>
        </w:rPr>
        <w:t xml:space="preserve">  </w:t>
      </w:r>
      <w:r>
        <w:rPr>
          <w:rFonts w:ascii="Times New Roman" w:eastAsia="仿宋_GB2312" w:hAnsi="Times New Roman"/>
          <w:sz w:val="22"/>
          <w:szCs w:val="22"/>
        </w:rPr>
        <w:t>单位负责人签字：</w:t>
      </w:r>
      <w:r w:rsidR="00DF5B5C">
        <w:rPr>
          <w:rFonts w:ascii="Times New Roman" w:eastAsia="仿宋_GB2312" w:hAnsi="Times New Roman" w:hint="eastAsia"/>
          <w:sz w:val="22"/>
          <w:szCs w:val="22"/>
        </w:rPr>
        <w:t>成亦志</w:t>
      </w:r>
    </w:p>
    <w:sectPr w:rsidR="00AC30D5" w:rsidSect="00AC30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1ED" w:rsidRDefault="005D11ED" w:rsidP="005C7096">
      <w:r>
        <w:separator/>
      </w:r>
    </w:p>
  </w:endnote>
  <w:endnote w:type="continuationSeparator" w:id="0">
    <w:p w:rsidR="005D11ED" w:rsidRDefault="005D11ED" w:rsidP="005C70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1ED" w:rsidRDefault="005D11ED" w:rsidP="005C7096">
      <w:r>
        <w:separator/>
      </w:r>
    </w:p>
  </w:footnote>
  <w:footnote w:type="continuationSeparator" w:id="0">
    <w:p w:rsidR="005D11ED" w:rsidRDefault="005D11ED" w:rsidP="005C70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TM0OGI2ZmNlODc1OWFkMDY5ZTYwNDcyZmM0YmI2NTYifQ=="/>
  </w:docVars>
  <w:rsids>
    <w:rsidRoot w:val="03793907"/>
    <w:rsid w:val="00263794"/>
    <w:rsid w:val="00314088"/>
    <w:rsid w:val="003260B0"/>
    <w:rsid w:val="00502C42"/>
    <w:rsid w:val="005C7096"/>
    <w:rsid w:val="005D11ED"/>
    <w:rsid w:val="005D6485"/>
    <w:rsid w:val="00633961"/>
    <w:rsid w:val="006B6B85"/>
    <w:rsid w:val="0087547A"/>
    <w:rsid w:val="00962370"/>
    <w:rsid w:val="009D0D4F"/>
    <w:rsid w:val="00A254C8"/>
    <w:rsid w:val="00AC30D5"/>
    <w:rsid w:val="00AE759F"/>
    <w:rsid w:val="00B5635F"/>
    <w:rsid w:val="00B86396"/>
    <w:rsid w:val="00CC3C9F"/>
    <w:rsid w:val="00CE2F78"/>
    <w:rsid w:val="00DA038B"/>
    <w:rsid w:val="00DB314F"/>
    <w:rsid w:val="00DF5B5C"/>
    <w:rsid w:val="00EE390E"/>
    <w:rsid w:val="00F00E41"/>
    <w:rsid w:val="03793907"/>
    <w:rsid w:val="585D125C"/>
    <w:rsid w:val="666200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30D5"/>
    <w:pPr>
      <w:widowControl w:val="0"/>
      <w:jc w:val="both"/>
    </w:pPr>
    <w:rPr>
      <w:rFonts w:ascii="仿宋" w:eastAsia="宋体" w:hAnsi="仿宋"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AC30D5"/>
    <w:pPr>
      <w:tabs>
        <w:tab w:val="center" w:pos="4153"/>
        <w:tab w:val="right" w:pos="8306"/>
      </w:tabs>
      <w:snapToGrid w:val="0"/>
      <w:jc w:val="left"/>
    </w:pPr>
    <w:rPr>
      <w:sz w:val="18"/>
      <w:szCs w:val="18"/>
    </w:rPr>
  </w:style>
  <w:style w:type="paragraph" w:styleId="a4">
    <w:name w:val="header"/>
    <w:basedOn w:val="a"/>
    <w:link w:val="Char0"/>
    <w:qFormat/>
    <w:rsid w:val="00AC30D5"/>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rsid w:val="00AC30D5"/>
    <w:pPr>
      <w:ind w:firstLineChars="200" w:firstLine="420"/>
    </w:pPr>
    <w:rPr>
      <w:rFonts w:ascii="Calibri" w:hAnsi="Calibri"/>
      <w:kern w:val="2"/>
      <w:sz w:val="21"/>
      <w:szCs w:val="22"/>
    </w:rPr>
  </w:style>
  <w:style w:type="character" w:customStyle="1" w:styleId="Char0">
    <w:name w:val="页眉 Char"/>
    <w:basedOn w:val="a0"/>
    <w:link w:val="a4"/>
    <w:qFormat/>
    <w:rsid w:val="00AC30D5"/>
    <w:rPr>
      <w:rFonts w:ascii="仿宋" w:eastAsia="宋体" w:hAnsi="仿宋" w:cs="Times New Roman"/>
      <w:sz w:val="18"/>
      <w:szCs w:val="18"/>
    </w:rPr>
  </w:style>
  <w:style w:type="character" w:customStyle="1" w:styleId="Char">
    <w:name w:val="页脚 Char"/>
    <w:basedOn w:val="a0"/>
    <w:link w:val="a3"/>
    <w:qFormat/>
    <w:rsid w:val="00AC30D5"/>
    <w:rPr>
      <w:rFonts w:ascii="仿宋" w:eastAsia="宋体" w:hAnsi="仿宋"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贵琳</dc:creator>
  <cp:lastModifiedBy>Administrator</cp:lastModifiedBy>
  <cp:revision>8</cp:revision>
  <cp:lastPrinted>2023-07-14T01:32:00Z</cp:lastPrinted>
  <dcterms:created xsi:type="dcterms:W3CDTF">2023-06-02T07:49:00Z</dcterms:created>
  <dcterms:modified xsi:type="dcterms:W3CDTF">2023-07-14T03:51:00Z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5329EB1463B443A190D3DD85B00D5CF4</vt:lpwstr>
  </property>
</Properties>
</file>